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74.0" w:type="dxa"/>
        <w:jc w:val="left"/>
        <w:tblInd w:w="25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445"/>
        <w:gridCol w:w="7229"/>
        <w:tblGridChange w:id="0">
          <w:tblGrid>
            <w:gridCol w:w="2445"/>
            <w:gridCol w:w="7229"/>
          </w:tblGrid>
        </w:tblGridChange>
      </w:tblGrid>
      <w:tr>
        <w:trPr>
          <w:cantSplit w:val="0"/>
          <w:trHeight w:val="515"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1095375" cy="145732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95375" cy="1457325"/>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2"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25"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6"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27"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228"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10" w:right="2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184"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80"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26"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AKADEMİK DANIŞMANLAR KURULU</w:t>
            </w:r>
          </w:p>
        </w:tc>
      </w:tr>
      <w:tr>
        <w:trPr>
          <w:cantSplit w:val="0"/>
          <w:trHeight w:val="537" w:hRule="atLeast"/>
          <w:tblHeader w:val="0"/>
        </w:trPr>
        <w:tc>
          <w:tcPr>
            <w:vMerge w:val="continue"/>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28"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381"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861"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23" w:lineRule="auto"/>
              <w:ind w:left="57" w:right="39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Akademik Danışman Kurulu, öğrencilerin hem akademik hem de profesyonel gelişimlerini destekleyerek, mezuniyet sonrası iş dünyasına daha güçlü bir şekilde adım atmalarını sağlamayı hedefler ve öğrencilerin sağlıklı bir kariyer planlaması yapmalarına yardımcı olmayı amaçlar.</w:t>
            </w:r>
          </w:p>
        </w:tc>
      </w:tr>
      <w:tr>
        <w:trPr>
          <w:cantSplit w:val="0"/>
          <w:trHeight w:val="383"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381"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381"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383"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Araştırma Görevlisi</w:t>
            </w:r>
          </w:p>
        </w:tc>
      </w:tr>
      <w:tr>
        <w:trPr>
          <w:cantSplit w:val="0"/>
          <w:trHeight w:val="383"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952" w:hRule="atLeast"/>
          <w:tblHeader w:val="0"/>
        </w:trPr>
        <w:tc>
          <w:tcPr/>
          <w:p w:rsidR="00000000" w:rsidDel="00000000" w:rsidP="00000000" w:rsidRDefault="00000000" w:rsidRPr="00000000" w14:paraId="0000001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85"/>
              </w:tabs>
              <w:spacing w:after="0" w:before="57" w:line="278.00000000000006"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hakim olmak.</w:t>
            </w:r>
          </w:p>
          <w:p w:rsidR="00000000" w:rsidDel="00000000" w:rsidP="00000000" w:rsidRDefault="00000000" w:rsidRPr="00000000" w14:paraId="0000001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85"/>
              </w:tabs>
              <w:spacing w:after="0" w:before="0" w:line="273"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Çıktıları raporlayabilme becerisine sahip olmak.</w:t>
            </w:r>
          </w:p>
          <w:p w:rsidR="00000000" w:rsidDel="00000000" w:rsidP="00000000" w:rsidRDefault="00000000" w:rsidRPr="00000000" w14:paraId="000000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85"/>
              </w:tabs>
              <w:spacing w:after="0" w:before="0" w:line="275"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381"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652" w:hRule="atLeast"/>
          <w:tblHeader w:val="0"/>
        </w:trPr>
        <w:tc>
          <w:tcPr/>
          <w:p w:rsidR="00000000" w:rsidDel="00000000" w:rsidP="00000000" w:rsidRDefault="00000000" w:rsidRPr="00000000" w14:paraId="0000001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85"/>
              </w:tabs>
              <w:spacing w:after="0" w:before="64" w:line="260"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Ön Lisans ve Lisans Eğitim-Öğretim ve Sınav Yönetmeliği</w:t>
            </w:r>
          </w:p>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85"/>
              </w:tabs>
              <w:spacing w:after="0" w:before="0" w:line="260"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Öğrenci Danışmanlığı Yönergesi</w:t>
            </w:r>
          </w:p>
        </w:tc>
      </w:tr>
      <w:tr>
        <w:trPr>
          <w:cantSplit w:val="0"/>
          <w:trHeight w:val="381"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3326" w:hRule="atLeast"/>
          <w:tblHeader w:val="0"/>
        </w:trPr>
        <w:tc>
          <w:tcPr/>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85"/>
              </w:tabs>
              <w:spacing w:after="0" w:before="57" w:line="276" w:lineRule="auto"/>
              <w:ind w:left="885" w:right="4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akademik süreçlerinde rehberlik yapmak, ders seçiminden mezuniyet planlamasına kadar tüm akademik süreçlerde danışmanlık sağlamak; ayrıca öğrencilere mesleki hedefler doğrultusunda kariyer planlama, iş dünyası trendleri ve sektörel gelişmeler hakkında rehberlik sunmak.</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85"/>
              </w:tabs>
              <w:spacing w:after="0" w:before="1" w:line="276" w:lineRule="auto"/>
              <w:ind w:left="885" w:right="46"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Öğrencilere çift anadal (çap) ve yandal programlarına başvuru süreçlerinde danışmanlık sağlamak, bu programların gereksinimlerini ve akademik yükümlülüklerini öğrencilere açıklamak, başvuru ve kayıt işlemlerini izlemek.</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85"/>
              </w:tabs>
              <w:spacing w:after="0" w:before="0" w:line="276" w:lineRule="auto"/>
              <w:ind w:left="885" w:right="44"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Erasmus Programı kapsamında öğrencilerin diğer üniversitelerde eğitim almalarını sağlamak için başvuru süreçlerini yönlendirmek, gerekli akademik düzenlemeleri yapmak ve öğrencilerin akademik sürekliliğini sağlamak.</w:t>
            </w:r>
          </w:p>
        </w:tc>
      </w:tr>
      <w:tr>
        <w:trPr>
          <w:cantSplit w:val="0"/>
          <w:trHeight w:val="381"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16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664" w:hRule="atLeast"/>
          <w:tblHeader w:val="0"/>
        </w:trPr>
        <w:tc>
          <w:tcPr/>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85"/>
              </w:tabs>
              <w:spacing w:after="0" w:before="52" w:line="279" w:lineRule="auto"/>
              <w:ind w:left="88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88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etmek ve biriminde bu doğrultuda hareket edilmesini sağlamak,</w:t>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sectPr>
          <w:footerReference r:id="rId8" w:type="default"/>
          <w:pgSz w:h="16850" w:w="11920" w:orient="portrait"/>
          <w:pgMar w:bottom="960" w:top="680" w:left="1275" w:right="283" w:header="0" w:footer="776"/>
          <w:pgNumType w:start="1"/>
        </w:sect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3"/>
        <w:tblW w:w="9816.0" w:type="dxa"/>
        <w:jc w:val="left"/>
        <w:tblInd w:w="25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728"/>
        <w:gridCol w:w="7088"/>
        <w:tblGridChange w:id="0">
          <w:tblGrid>
            <w:gridCol w:w="2728"/>
            <w:gridCol w:w="7088"/>
          </w:tblGrid>
        </w:tblGridChange>
      </w:tblGrid>
      <w:tr>
        <w:trPr>
          <w:cantSplit w:val="0"/>
          <w:trHeight w:val="515" w:hRule="atLeast"/>
          <w:tblHeader w:val="0"/>
        </w:trPr>
        <w:tc>
          <w:tcPr>
            <w:vMerge w:val="restart"/>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0" distR="0">
                  <wp:extent cx="1095375" cy="145732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95375" cy="1457325"/>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12" w:hRule="atLeast"/>
          <w:tblHeader w:val="0"/>
        </w:trPr>
        <w:tc>
          <w:tcPr>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25"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6" w:hRule="atLeast"/>
          <w:tblHeader w:val="0"/>
        </w:trPr>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27"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190" w:hRule="atLeast"/>
          <w:tblHeader w:val="0"/>
        </w:trPr>
        <w:tc>
          <w:tcPr>
            <w:vMerge w:val="continue"/>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10" w:right="2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184" w:hRule="atLeast"/>
          <w:tblHeader w:val="0"/>
        </w:trPr>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80" w:hRule="atLeast"/>
          <w:tblHeader w:val="0"/>
        </w:trPr>
        <w:tc>
          <w:tcPr>
            <w:vMerge w:val="continue"/>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29"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AKADEMİK DANIŞMANLIK</w:t>
            </w:r>
          </w:p>
        </w:tc>
      </w:tr>
      <w:tr>
        <w:trPr>
          <w:cantSplit w:val="0"/>
          <w:trHeight w:val="537" w:hRule="atLeast"/>
          <w:tblHeader w:val="0"/>
        </w:trPr>
        <w:tc>
          <w:tcPr>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28" w:right="1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782.0" w:type="dxa"/>
        <w:jc w:val="left"/>
        <w:tblInd w:w="2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208" w:hRule="atLeast"/>
          <w:tblHeader w:val="0"/>
        </w:trPr>
        <w:tc>
          <w:tcPr/>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80"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3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1" w:line="240" w:lineRule="auto"/>
              <w:ind w:left="832" w:right="31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w:t>
            </w:r>
            <w:r w:rsidDel="00000000" w:rsidR="00000000" w:rsidRPr="00000000">
              <w:rPr>
                <w:rtl w:val="0"/>
              </w:rPr>
              <w:t xml:space="preserve">İYYÜ</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KYS dokümanlarına uygun hareket edilmesini ve kayıtlara yönelik ilgili koordinasyonu sağlamak,</w:t>
            </w:r>
          </w:p>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40" w:lineRule="auto"/>
              <w:ind w:left="832" w:right="139"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75"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s>
              <w:spacing w:after="0" w:before="0" w:line="267"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0" w:hRule="atLeast"/>
          <w:tblHeader w:val="0"/>
        </w:trPr>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 w:lineRule="auto"/>
              <w:ind w:left="10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80" w:hRule="atLeast"/>
          <w:tblHeader w:val="0"/>
        </w:trPr>
        <w:tc>
          <w:tcPr/>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2"/>
              </w:tabs>
              <w:spacing w:after="0" w:before="0" w:line="260" w:lineRule="auto"/>
              <w:ind w:left="832"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 ders kayıt, ders ekle-çıkar işlemlerine müdahale etmek.</w:t>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5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sectPr>
      <w:type w:val="nextPage"/>
      <w:pgSz w:h="16850" w:w="11920" w:orient="portrait"/>
      <w:pgMar w:bottom="960" w:top="680" w:left="1275" w:right="283" w:header="0" w:footer="7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4"/>
        <w:szCs w:val="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4808410</wp:posOffset>
              </wp:positionH>
              <wp:positionV relativeFrom="paragraph">
                <wp:posOffset>9938829</wp:posOffset>
              </wp:positionV>
              <wp:extent cx="1573530" cy="175260"/>
              <wp:effectExtent b="0" l="0" r="0" t="0"/>
              <wp:wrapNone/>
              <wp:docPr id="1" name=""/>
              <a:graphic>
                <a:graphicData uri="http://schemas.microsoft.com/office/word/2010/wordprocessingShape">
                  <wps:wsp>
                    <wps:cNvSpPr/>
                    <wps:cNvPr id="2" name="Shape 2"/>
                    <wps:spPr>
                      <a:xfrm>
                        <a:off x="4563998" y="3697133"/>
                        <a:ext cx="1564005" cy="165735"/>
                      </a:xfrm>
                      <a:prstGeom prst="rect">
                        <a:avLst/>
                      </a:prstGeom>
                      <a:noFill/>
                      <a:ln>
                        <a:noFill/>
                      </a:ln>
                    </wps:spPr>
                    <wps:txbx>
                      <w:txbxContent>
                        <w:p w:rsidR="00000000" w:rsidDel="00000000" w:rsidP="00000000" w:rsidRDefault="00000000" w:rsidRPr="00000000">
                          <w:pPr>
                            <w:spacing w:after="0" w:before="0" w:line="245.00000953674316"/>
                            <w:ind w:left="20" w:right="0" w:firstLine="0"/>
                            <w:jc w:val="left"/>
                            <w:textDirection w:val="btLr"/>
                          </w:pPr>
                          <w:r w:rsidDel="00000000" w:rsidR="00000000" w:rsidRPr="00000000">
                            <w:rPr>
                              <w:rFonts w:ascii="Calibri" w:cs="Calibri" w:eastAsia="Calibri" w:hAnsi="Calibri"/>
                              <w:b w:val="0"/>
                              <w:i w:val="0"/>
                              <w:smallCaps w:val="0"/>
                              <w:strike w:val="0"/>
                              <w:color w:val="006ec0"/>
                              <w:sz w:val="28"/>
                              <w:vertAlign w:val="baseline"/>
                            </w:rPr>
                            <w:t xml:space="preserve">KK-FR-001/14.02.2024/00/-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4808410</wp:posOffset>
              </wp:positionH>
              <wp:positionV relativeFrom="paragraph">
                <wp:posOffset>9938829</wp:posOffset>
              </wp:positionV>
              <wp:extent cx="1573530" cy="17526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73530"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2"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2"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8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abstractNum w:abstractNumId="4">
    <w:lvl w:ilvl="0">
      <w:start w:val="0"/>
      <w:numFmt w:val="bullet"/>
      <w:lvlText w:val="●"/>
      <w:lvlJc w:val="left"/>
      <w:pPr>
        <w:ind w:left="88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abstractNum w:abstractNumId="5">
    <w:lvl w:ilvl="0">
      <w:start w:val="0"/>
      <w:numFmt w:val="bullet"/>
      <w:lvlText w:val="•"/>
      <w:lvlJc w:val="left"/>
      <w:pPr>
        <w:ind w:left="885" w:hanging="360"/>
      </w:pPr>
      <w:rPr>
        <w:rFonts w:ascii="Calibri" w:cs="Calibri" w:eastAsia="Calibri" w:hAnsi="Calibri"/>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abstractNum w:abstractNumId="6">
    <w:lvl w:ilvl="0">
      <w:start w:val="0"/>
      <w:numFmt w:val="bullet"/>
      <w:lvlText w:val="●"/>
      <w:lvlJc w:val="left"/>
      <w:pPr>
        <w:ind w:left="88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69" w:hanging="360"/>
      </w:pPr>
      <w:rPr/>
    </w:lvl>
    <w:lvl w:ilvl="2">
      <w:start w:val="0"/>
      <w:numFmt w:val="bullet"/>
      <w:lvlText w:val="•"/>
      <w:lvlJc w:val="left"/>
      <w:pPr>
        <w:ind w:left="2658" w:hanging="360"/>
      </w:pPr>
      <w:rPr/>
    </w:lvl>
    <w:lvl w:ilvl="3">
      <w:start w:val="0"/>
      <w:numFmt w:val="bullet"/>
      <w:lvlText w:val="•"/>
      <w:lvlJc w:val="left"/>
      <w:pPr>
        <w:ind w:left="3547" w:hanging="360"/>
      </w:pPr>
      <w:rPr/>
    </w:lvl>
    <w:lvl w:ilvl="4">
      <w:start w:val="0"/>
      <w:numFmt w:val="bullet"/>
      <w:lvlText w:val="•"/>
      <w:lvlJc w:val="left"/>
      <w:pPr>
        <w:ind w:left="4436" w:hanging="360"/>
      </w:pPr>
      <w:rPr/>
    </w:lvl>
    <w:lvl w:ilvl="5">
      <w:start w:val="0"/>
      <w:numFmt w:val="bullet"/>
      <w:lvlText w:val="•"/>
      <w:lvlJc w:val="left"/>
      <w:pPr>
        <w:ind w:left="5326" w:hanging="360"/>
      </w:pPr>
      <w:rPr/>
    </w:lvl>
    <w:lvl w:ilvl="6">
      <w:start w:val="0"/>
      <w:numFmt w:val="bullet"/>
      <w:lvlText w:val="•"/>
      <w:lvlJc w:val="left"/>
      <w:pPr>
        <w:ind w:left="6215" w:hanging="360"/>
      </w:pPr>
      <w:rPr/>
    </w:lvl>
    <w:lvl w:ilvl="7">
      <w:start w:val="0"/>
      <w:numFmt w:val="bullet"/>
      <w:lvlText w:val="•"/>
      <w:lvlJc w:val="left"/>
      <w:pPr>
        <w:ind w:left="7104" w:hanging="360"/>
      </w:pPr>
      <w:rPr/>
    </w:lvl>
    <w:lvl w:ilvl="8">
      <w:start w:val="0"/>
      <w:numFmt w:val="bullet"/>
      <w:lvlText w:val="•"/>
      <w:lvlJc w:val="left"/>
      <w:pPr>
        <w:ind w:left="7993"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490EooNb1ewbo3ZbXj+q2l1Ag==">CgMxLjA4AHIhMXdvWWRseG1JTXVBN3JNbmsxQkRaX2FlbS1EYXFHRmNM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2025-09-03T00:00:00Z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